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Modern Retirement Income Planning</w:t>
      </w:r>
    </w:p>
    <w:p>
      <w:r>
        <w:t>This article is for educational purposes only and does not constitute investment, legal, or tax advice. Readers should consult qualified professionals before making financial decisions.</w:t>
      </w:r>
    </w:p>
    <w:p>
      <w:r>
        <w:t>Retirement income planning focuses on creating sustainable cash flow rather than maximizing account balances. The transition from earning a paycheck to relying on savings requires a different approach to risk, withdrawals, and asset allocation.</w:t>
      </w:r>
    </w:p>
    <w:p>
      <w:r>
        <w:t>Modern income strategies emphasize diversification of income sources, careful withdrawal sequencing, and awareness of market conditions. This helps retirees manage volatility while supporting long-term financial independence.</w:t>
      </w:r>
    </w:p>
    <w:p>
      <w:r>
        <w:t>A well-structured income plan adapts to changing economic conditions and personal needs, prioritizing stability, flexibility, and longevity.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