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Power of Real Assets</w:t>
      </w:r>
    </w:p>
    <w:p>
      <w:r>
        <w:t>This article is for educational purposes only and does not constitute investment, legal, or tax advice. Readers should consult qualified professionals before making financial decisions.</w:t>
      </w:r>
    </w:p>
    <w:p>
      <w:r>
        <w:t>Real assets such as real estate, farmland, and infrastructure play a unique role in retirement portfolios. These assets derive value from physical utility and long-term demand, often producing income supported by tangible assets.</w:t>
      </w:r>
    </w:p>
    <w:p>
      <w:r>
        <w:t>Unlike purely financial assets, real assets may respond differently to inflation and economic cycles. Rental income, agricultural production, and infrastructure usage can provide cash flow that adjusts over time, helping retirees maintain purchasing power.</w:t>
      </w:r>
    </w:p>
    <w:p>
      <w:r>
        <w:t>While real assets involve risks such as illiquidity and operational complexity, they are commonly considered as part of a diversified retirement strategy aimed at income stability and reduced correlation to public markets.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